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Hasil Analisis Gephi</w:t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Poin Analisis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SRE Terdahulu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SRE Sekarang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Edges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Avg. Degree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Network Diameter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Graph Density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0.305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0.5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Avg. Path Length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1.933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Penjelasan Analisis</w:t>
      </w:r>
    </w:p>
    <w:tbl>
      <w:tblPr>
        <w:tblStyle w:val="Table2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70"/>
        <w:gridCol w:w="6630"/>
        <w:tblGridChange w:id="0">
          <w:tblGrid>
            <w:gridCol w:w="2370"/>
            <w:gridCol w:w="6630"/>
          </w:tblGrid>
        </w:tblGridChange>
      </w:tblGrid>
      <w:tr>
        <w:trPr>
          <w:cantSplit w:val="0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Poin Analisis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Penjelasan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Nodes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Proses ekstraksi nodes menggunakan artikel yang sama dengan jumlah 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Edges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Edges yang terbentuk lebih banyak menunjukkan SRE terbaru memiliki edges lebih kompleks dan ekspansi hubungan pada antar nodes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Avg. Degree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Peningkatan rata-rata jumlah koneksi antar nodes dipengaruhi oleh banyaknya edges yang terbentuk. Hal ini mengindikasikan jaringan knowledge graph yang lebih padat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Network Diameter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Penurunan jalur terpanjang antar node menunjukkan menandakan adanya peningkatan efisiensi komunikasi antar entitas artikel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Graph Density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Peningkatan kepadatan jaringan pada knowledge graph terbaru mengindikasi pengetahuan yang lebih terkoneksi dan potensi inferensi antar node lebih luas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Avg. Path Length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Panjang rata-rata jalur antar node menjadi satu langkah menunjukkan efisiensi yang terlihat di network diameter dan memperlihatkan bahwa Knowledge Graph baru memiliki struktur yang optimal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33655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365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rtl w:val="0"/>
        </w:rPr>
        <w:t xml:space="preserve">SRE Lama</w:t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731200" cy="3568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56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/>
      </w:pPr>
      <w:r w:rsidDel="00000000" w:rsidR="00000000" w:rsidRPr="00000000">
        <w:rPr>
          <w:rtl w:val="0"/>
        </w:rPr>
        <w:t xml:space="preserve">SRE Baru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